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F3" w:rsidRPr="006D06A1" w:rsidRDefault="00710BF3" w:rsidP="00710BF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муниципальной инновационной площадки</w:t>
      </w:r>
    </w:p>
    <w:p w:rsidR="00710BF3" w:rsidRPr="006D06A1" w:rsidRDefault="00710BF3" w:rsidP="00710B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0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80C6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Сетевое взаимодействие образовательных организаций в формировании, развитии и оценке функциональной грамотности школьников</w:t>
      </w:r>
      <w:r w:rsidRPr="006D0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10BF3" w:rsidRPr="006D06A1" w:rsidRDefault="00710BF3" w:rsidP="00710B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06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(наименование проекта)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710BF3" w:rsidRPr="00CE148F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Обоснование актуальности и </w:t>
      </w:r>
      <w:proofErr w:type="spellStart"/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инновационности</w:t>
      </w:r>
      <w:proofErr w:type="spellEnd"/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проекта </w:t>
      </w:r>
    </w:p>
    <w:p w:rsidR="00710BF3" w:rsidRPr="00CE148F" w:rsidRDefault="00710BF3" w:rsidP="00710BF3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Указом Президента Российской Федерации от 7 мая 2018 года № 204 определены национальные цели и стратегические задачи развития РФ на период до 2024 года.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 Национальный проект «Образование» анонсирует проведение в 2024 г. в 85 субъектах РФ оценки качества общего образования на основе практики международных исследований, которые основаны на концепции функциональной грамотности.</w:t>
      </w:r>
    </w:p>
    <w:p w:rsidR="00710BF3" w:rsidRPr="00CE148F" w:rsidRDefault="00710BF3" w:rsidP="00710BF3">
      <w:pPr>
        <w:spacing w:after="0" w:line="240" w:lineRule="auto"/>
        <w:ind w:firstLine="696"/>
        <w:jc w:val="both"/>
        <w:rPr>
          <w:rFonts w:ascii="Times New Roman" w:hAnsi="Times New Roman"/>
          <w:bCs/>
          <w:sz w:val="27"/>
          <w:szCs w:val="27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В связи с поставленными целями и задачами перед системой образования и каждой школой особенно важным становится вопрос о перспективах развития, о необходимых изменениях в деятельности для достижения поставленных целей. Уже в настоящее время в средних школах № 4, 11, 39 ведется активная работа, нацеленная на новые результаты, связанные с «навыками 21 века» -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перемен. В средней школе № 39 с 2020 года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а в средней школе № 11 с 2021 года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 реализуется региональный проект </w:t>
      </w:r>
      <w:r w:rsidRPr="00CE148F">
        <w:rPr>
          <w:rFonts w:ascii="Times New Roman" w:hAnsi="Times New Roman"/>
          <w:bCs/>
          <w:sz w:val="27"/>
          <w:szCs w:val="27"/>
        </w:rPr>
        <w:t>«</w:t>
      </w:r>
      <w:r w:rsidRPr="00CE148F">
        <w:rPr>
          <w:rFonts w:ascii="Times New Roman" w:hAnsi="Times New Roman"/>
          <w:sz w:val="27"/>
          <w:szCs w:val="27"/>
        </w:rPr>
        <w:t>Реализация комплексной программы по развитию личностного потенциала</w:t>
      </w:r>
      <w:r w:rsidRPr="00CE148F">
        <w:rPr>
          <w:rFonts w:ascii="Times New Roman" w:hAnsi="Times New Roman"/>
          <w:bCs/>
          <w:sz w:val="27"/>
          <w:szCs w:val="27"/>
        </w:rPr>
        <w:t>».</w:t>
      </w:r>
    </w:p>
    <w:p w:rsidR="00710BF3" w:rsidRPr="00CE148F" w:rsidRDefault="00710BF3" w:rsidP="00710BF3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Вышесказанное обуславливает необходимость организации системы деятельности образовательной организации, включая урочную и внеурочную деятельность, в системе непрерывного образования, что позволит достичь предметных, </w:t>
      </w:r>
      <w:proofErr w:type="spellStart"/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метапредметных</w:t>
      </w:r>
      <w:proofErr w:type="spellEnd"/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 и личностных образовательных результатов в соответствии с ФГОС.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Цели, задачи и основная идея (идеи) предлагаемого проекта</w:t>
      </w:r>
    </w:p>
    <w:p w:rsidR="00710BF3" w:rsidRPr="00CE148F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Цель проекта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Pr="00280C69"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создание модели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сетевого взаимодействия школ</w:t>
      </w:r>
      <w:r w:rsidRPr="00280C69">
        <w:rPr>
          <w:rFonts w:ascii="Times New Roman" w:eastAsia="Times New Roman" w:hAnsi="Times New Roman"/>
          <w:sz w:val="27"/>
          <w:szCs w:val="27"/>
          <w:lang w:eastAsia="ru-RU"/>
        </w:rPr>
        <w:t xml:space="preserve">, способствующей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развитию</w:t>
      </w:r>
      <w:r w:rsidRPr="00280C69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 обучающихся как одного из важных системообразующих компонентов повышения эффективности образовательно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 деятельности</w:t>
      </w:r>
      <w:r w:rsidRPr="00280C69">
        <w:rPr>
          <w:rFonts w:ascii="Times New Roman" w:eastAsia="Times New Roman" w:hAnsi="Times New Roman"/>
          <w:sz w:val="27"/>
          <w:szCs w:val="27"/>
          <w:lang w:eastAsia="ru-RU"/>
        </w:rPr>
        <w:t xml:space="preserve"> в целом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710BF3" w:rsidRPr="00CE148F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Задачи проекта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</w:p>
    <w:p w:rsidR="00710BF3" w:rsidRPr="006D5694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1) 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Создать базу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методов, форм, технологий, методических приемов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, направленных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развитие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 обучающихся. </w:t>
      </w:r>
    </w:p>
    <w:p w:rsidR="00710BF3" w:rsidRPr="00CE148F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2) 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Структурировать модель образовательного пространства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школ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, по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развитию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 обучающихся,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способствующих повышению эффективности образовательно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деятельности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в целом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10BF3" w:rsidRPr="00CE148F" w:rsidRDefault="00710BF3" w:rsidP="00710BF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Основная идея проекта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оздание модели образовательного пространства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школ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, способствующей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развитию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 обучающихся как одного из важных системообразующих компонентов повышения эффективности образовательно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деятельности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в целом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10BF3" w:rsidRDefault="00710BF3" w:rsidP="00710BF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Срок и механизмы реализации инновационного проекта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2EFD">
        <w:rPr>
          <w:rFonts w:ascii="Times New Roman" w:eastAsia="Times New Roman" w:hAnsi="Times New Roman"/>
          <w:i/>
          <w:sz w:val="27"/>
          <w:szCs w:val="27"/>
          <w:lang w:eastAsia="ru-RU"/>
        </w:rPr>
        <w:t>I этап –сентябрь 2021 года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 – подготовительный (мотивационно - целевой). 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Задачи: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формирование групп потенциальных участников проекта;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подготовка нормативно-методического обеспечения программы проекта.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Планируемый результат: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определение участников проекта.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нормативно-методическое обеспечение реализации проекта и разработанные критерии эффективности и действенности в процессе реализации проекта.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2EFD">
        <w:rPr>
          <w:rFonts w:ascii="Times New Roman" w:eastAsia="Times New Roman" w:hAnsi="Times New Roman"/>
          <w:i/>
          <w:sz w:val="27"/>
          <w:szCs w:val="27"/>
          <w:lang w:eastAsia="ru-RU"/>
        </w:rPr>
        <w:t>II этап – октябрь — апрель 2021 — 2022 уч. г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. – основной (операционно-действенный). 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Работа по реализации основных мероприятий проекта, подведение итогов проекта, мониторинг качества образовательной деятельности в рамках проекта сетевого взаимодействия ОО. 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Задачи: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организация и проведение сетевых образовательных событий и проектов в образовательных организациях- участниках Проекта;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анализ хода работы и отслеживание промежуточных результатов;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организация публичной отчетности о деятельности МИП на сайтах школ;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Планируемый результат: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разработана и функционирует страница «Сетевое взаимодействие» на сайтах школ №№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4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11, 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39;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проведены сетевые образовательные мероприятия и проекты в образовательных организациях.</w:t>
      </w:r>
    </w:p>
    <w:p w:rsidR="00710BF3" w:rsidRPr="006F2EFD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6F2EFD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III этап – май 2022 г.   -  рефлексивный. 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Проблемный анализ результатов реализации проекта, определение перспектив дальнейшего развития МИП.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 xml:space="preserve">Задачи: 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обработка данных;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соотнесение результатов реализации проекта с поставленными целями;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анализ полученных данных;</w:t>
      </w:r>
    </w:p>
    <w:p w:rsidR="00710BF3" w:rsidRPr="006D5694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D5694">
        <w:rPr>
          <w:rFonts w:ascii="Times New Roman" w:eastAsia="Times New Roman" w:hAnsi="Times New Roman"/>
          <w:sz w:val="27"/>
          <w:szCs w:val="27"/>
          <w:lang w:eastAsia="ru-RU"/>
        </w:rPr>
        <w:tab/>
        <w:t>оформление, тиражирование и презентация результатов реализации проекта.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Изменения в МСО, ожидаемые от реализации проекта</w:t>
      </w:r>
    </w:p>
    <w:p w:rsidR="00710BF3" w:rsidRPr="00CE148F" w:rsidRDefault="00710BF3" w:rsidP="00710B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В муниципальной системе образования появится опыт организации </w:t>
      </w:r>
      <w:r>
        <w:rPr>
          <w:rFonts w:ascii="Times New Roman" w:hAnsi="Times New Roman"/>
          <w:bCs/>
          <w:sz w:val="27"/>
          <w:szCs w:val="27"/>
        </w:rPr>
        <w:t>сетевого взаимодействия школ по вопросам развития функциональной грамотности</w:t>
      </w:r>
      <w:r w:rsidRPr="00CE148F">
        <w:rPr>
          <w:rFonts w:ascii="Times New Roman" w:hAnsi="Times New Roman"/>
          <w:sz w:val="27"/>
          <w:szCs w:val="27"/>
        </w:rPr>
        <w:t>.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10BF3" w:rsidRPr="00CE148F" w:rsidRDefault="00710BF3" w:rsidP="00710BF3">
      <w:pPr>
        <w:pStyle w:val="Default"/>
        <w:ind w:left="426"/>
        <w:jc w:val="both"/>
        <w:rPr>
          <w:i/>
          <w:iCs/>
          <w:color w:val="auto"/>
          <w:sz w:val="27"/>
          <w:szCs w:val="27"/>
        </w:rPr>
      </w:pPr>
      <w:r w:rsidRPr="00CE148F">
        <w:rPr>
          <w:i/>
          <w:iCs/>
          <w:color w:val="auto"/>
          <w:sz w:val="27"/>
          <w:szCs w:val="27"/>
        </w:rPr>
        <w:t>Кадровые ресурсы.</w:t>
      </w:r>
    </w:p>
    <w:p w:rsidR="00710BF3" w:rsidRPr="00CE148F" w:rsidRDefault="00710BF3" w:rsidP="00710BF3">
      <w:pPr>
        <w:pStyle w:val="Default"/>
        <w:ind w:left="426"/>
        <w:jc w:val="both"/>
        <w:rPr>
          <w:color w:val="auto"/>
          <w:sz w:val="27"/>
          <w:szCs w:val="27"/>
        </w:rPr>
      </w:pPr>
      <w:r w:rsidRPr="00CE148F">
        <w:rPr>
          <w:sz w:val="27"/>
          <w:szCs w:val="27"/>
        </w:rPr>
        <w:t>К непосредственной работе будут привлечены педагоги школ, имеющие опыт методической ра</w:t>
      </w:r>
      <w:r>
        <w:rPr>
          <w:sz w:val="27"/>
          <w:szCs w:val="27"/>
        </w:rPr>
        <w:t>боты в составе творческих групп.</w:t>
      </w:r>
    </w:p>
    <w:p w:rsidR="00710BF3" w:rsidRPr="00CE148F" w:rsidRDefault="00710BF3" w:rsidP="00710BF3">
      <w:pPr>
        <w:pStyle w:val="Default"/>
        <w:ind w:left="426"/>
        <w:jc w:val="both"/>
        <w:rPr>
          <w:color w:val="auto"/>
          <w:sz w:val="27"/>
          <w:szCs w:val="27"/>
        </w:rPr>
      </w:pPr>
      <w:r w:rsidRPr="00CE148F">
        <w:rPr>
          <w:i/>
          <w:iCs/>
          <w:color w:val="auto"/>
          <w:sz w:val="27"/>
          <w:szCs w:val="27"/>
        </w:rPr>
        <w:t>Нормативно-правовые ресурсы.</w:t>
      </w:r>
    </w:p>
    <w:p w:rsidR="00710BF3" w:rsidRPr="00CE148F" w:rsidRDefault="00710BF3" w:rsidP="00710BF3">
      <w:pPr>
        <w:pStyle w:val="Default"/>
        <w:ind w:left="426"/>
        <w:jc w:val="both"/>
        <w:rPr>
          <w:color w:val="auto"/>
          <w:sz w:val="27"/>
          <w:szCs w:val="27"/>
        </w:rPr>
      </w:pPr>
      <w:r w:rsidRPr="00CE148F">
        <w:rPr>
          <w:color w:val="auto"/>
          <w:sz w:val="27"/>
          <w:szCs w:val="27"/>
        </w:rPr>
        <w:t>Наличие локальных актов, регламентирующих реализацию проекта.</w:t>
      </w:r>
    </w:p>
    <w:p w:rsidR="00710BF3" w:rsidRPr="00CE148F" w:rsidRDefault="00710BF3" w:rsidP="00710BF3">
      <w:pPr>
        <w:pStyle w:val="a4"/>
        <w:ind w:left="426"/>
        <w:jc w:val="both"/>
        <w:rPr>
          <w:rFonts w:ascii="Times New Roman" w:hAnsi="Times New Roman"/>
          <w:sz w:val="27"/>
          <w:szCs w:val="27"/>
        </w:rPr>
      </w:pPr>
      <w:r w:rsidRPr="00CE148F">
        <w:rPr>
          <w:rFonts w:ascii="Times New Roman" w:hAnsi="Times New Roman"/>
          <w:sz w:val="27"/>
          <w:szCs w:val="27"/>
        </w:rPr>
        <w:t>Рабочие программы учебных предметов, внеурочной деятельности, модулей, курсов.</w:t>
      </w:r>
    </w:p>
    <w:p w:rsidR="00710BF3" w:rsidRPr="00CE148F" w:rsidRDefault="00710BF3" w:rsidP="00710BF3">
      <w:pPr>
        <w:spacing w:after="0" w:line="240" w:lineRule="auto"/>
        <w:ind w:left="426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i/>
          <w:sz w:val="27"/>
          <w:szCs w:val="27"/>
          <w:lang w:eastAsia="ru-RU"/>
        </w:rPr>
        <w:t>Материально-технические ресурсы.</w:t>
      </w:r>
    </w:p>
    <w:p w:rsidR="00710BF3" w:rsidRPr="00CE148F" w:rsidRDefault="00710BF3" w:rsidP="00710BF3">
      <w:pPr>
        <w:spacing w:after="0" w:line="240" w:lineRule="auto"/>
        <w:ind w:left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Материальная база средних школ № 4, 11, 39.</w:t>
      </w:r>
    </w:p>
    <w:p w:rsidR="00710BF3" w:rsidRPr="00CE148F" w:rsidRDefault="00710BF3" w:rsidP="00710BF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Описание ожидаемых инновационных продуктов: полнота описания продуктов</w:t>
      </w:r>
    </w:p>
    <w:p w:rsidR="00710BF3" w:rsidRDefault="00710BF3" w:rsidP="00710BF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Банк форм, методов, технологий организации образовательной деятельности по развитию и диагностике уровня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грамотности, предлагаемый к тиражированию.</w:t>
      </w:r>
    </w:p>
    <w:p w:rsidR="00710BF3" w:rsidRPr="00CE148F" w:rsidRDefault="00710BF3" w:rsidP="00710BF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Банк диагностических работ по оценке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функциональной грамотности.</w:t>
      </w:r>
    </w:p>
    <w:p w:rsidR="00710BF3" w:rsidRPr="00CE148F" w:rsidRDefault="00710BF3" w:rsidP="00710BF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Комплект образовательно-воспитательных программ, направленных на формирование, развитие и оценку функциональной грамотности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обучающихся: читательской, математической, финансовой.</w:t>
      </w:r>
    </w:p>
    <w:p w:rsidR="00710BF3" w:rsidRPr="006F2EFD" w:rsidRDefault="00710BF3" w:rsidP="0071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2EFD">
        <w:rPr>
          <w:rFonts w:ascii="Times New Roman" w:eastAsia="Times New Roman" w:hAnsi="Times New Roman"/>
          <w:b/>
          <w:sz w:val="27"/>
          <w:szCs w:val="27"/>
          <w:lang w:eastAsia="ru-RU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4449"/>
      </w:tblGrid>
      <w:tr w:rsidR="00710BF3" w:rsidTr="00C838FB">
        <w:trPr>
          <w:trHeight w:val="633"/>
        </w:trPr>
        <w:tc>
          <w:tcPr>
            <w:tcW w:w="5185" w:type="dxa"/>
            <w:shd w:val="clear" w:color="auto" w:fill="auto"/>
          </w:tcPr>
          <w:p w:rsidR="00710BF3" w:rsidRPr="00AF072B" w:rsidRDefault="00710BF3" w:rsidP="00C838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72B">
              <w:rPr>
                <w:rFonts w:ascii="Times New Roman" w:hAnsi="Times New Roman"/>
                <w:b/>
                <w:sz w:val="28"/>
                <w:szCs w:val="28"/>
              </w:rPr>
              <w:t>Предполагаемые риски</w:t>
            </w:r>
          </w:p>
        </w:tc>
        <w:tc>
          <w:tcPr>
            <w:tcW w:w="4449" w:type="dxa"/>
            <w:shd w:val="clear" w:color="auto" w:fill="auto"/>
          </w:tcPr>
          <w:p w:rsidR="00710BF3" w:rsidRPr="00AF072B" w:rsidRDefault="00710BF3" w:rsidP="00C838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72B">
              <w:rPr>
                <w:rFonts w:ascii="Times New Roman" w:hAnsi="Times New Roman"/>
                <w:b/>
                <w:sz w:val="28"/>
                <w:szCs w:val="28"/>
              </w:rPr>
              <w:t>Способы их преодоления</w:t>
            </w:r>
          </w:p>
        </w:tc>
      </w:tr>
      <w:tr w:rsidR="00710BF3" w:rsidTr="00C838FB">
        <w:tc>
          <w:tcPr>
            <w:tcW w:w="5185" w:type="dxa"/>
            <w:shd w:val="clear" w:color="auto" w:fill="auto"/>
          </w:tcPr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>Недостаточная компетентность части педагогов в сути инновационной деятельности в рамках сетевого взаимодействия</w:t>
            </w:r>
          </w:p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>Загруженность педагогов и учащихся учебной деятельностью, отсутствие времени на участие в проекте</w:t>
            </w:r>
          </w:p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>Невыполнение сроков мероприятий в рамках основных направлений деятельности со стороны некоторых участников</w:t>
            </w:r>
          </w:p>
        </w:tc>
        <w:tc>
          <w:tcPr>
            <w:tcW w:w="4449" w:type="dxa"/>
            <w:shd w:val="clear" w:color="auto" w:fill="auto"/>
          </w:tcPr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>Включение педагогов в деятельность работы творческих групп</w:t>
            </w:r>
          </w:p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 xml:space="preserve">Планирование основных мероприятий сетевого взаимодействия с учётом календарного учебного графика и занятости в каникулярное время  </w:t>
            </w:r>
          </w:p>
          <w:p w:rsidR="00710BF3" w:rsidRPr="00AF072B" w:rsidRDefault="00710BF3" w:rsidP="00710BF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F072B">
              <w:rPr>
                <w:rFonts w:ascii="Times New Roman" w:hAnsi="Times New Roman"/>
                <w:sz w:val="26"/>
                <w:szCs w:val="26"/>
              </w:rPr>
              <w:t>Контроль над реализацией проекта, анализ промежуточных результатов</w:t>
            </w:r>
          </w:p>
        </w:tc>
      </w:tr>
    </w:tbl>
    <w:p w:rsidR="00710BF3" w:rsidRPr="006F2EFD" w:rsidRDefault="00710BF3" w:rsidP="00710BF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10BF3" w:rsidRPr="00CE148F" w:rsidRDefault="00710BF3" w:rsidP="0071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Предложения по распространению и внедрению результатов проекта в МСО</w:t>
      </w:r>
    </w:p>
    <w:p w:rsidR="00710BF3" w:rsidRPr="00CE148F" w:rsidRDefault="00710BF3" w:rsidP="00710BF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Результаты реализации проекта будут распространятся в МСО путем организации и проведения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семинаров, 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онлайн-конференций в системе </w:t>
      </w:r>
      <w:r w:rsidRPr="00CE148F">
        <w:rPr>
          <w:rFonts w:ascii="Times New Roman" w:eastAsia="Times New Roman" w:hAnsi="Times New Roman"/>
          <w:sz w:val="27"/>
          <w:szCs w:val="27"/>
          <w:lang w:val="en-US" w:eastAsia="ru-RU"/>
        </w:rPr>
        <w:t>Zoom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проведения очных мастер-классов</w:t>
      </w: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10BF3" w:rsidRPr="00CE148F" w:rsidRDefault="00710BF3" w:rsidP="00710BF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Планируется издание сборника материалов по результатам реализации проекта.</w:t>
      </w:r>
    </w:p>
    <w:p w:rsidR="00710BF3" w:rsidRPr="00CE148F" w:rsidRDefault="00710BF3" w:rsidP="0071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b/>
          <w:sz w:val="27"/>
          <w:szCs w:val="27"/>
          <w:lang w:eastAsia="ru-RU"/>
        </w:rPr>
        <w:t>Исполнители проекта</w:t>
      </w:r>
    </w:p>
    <w:p w:rsidR="00710BF3" w:rsidRPr="00CE148F" w:rsidRDefault="00710BF3" w:rsidP="00710BF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общеобразовательное учреждение «Средняя школа № 39» (средняя школа № 39)</w:t>
      </w:r>
    </w:p>
    <w:p w:rsidR="00710BF3" w:rsidRPr="00CE148F" w:rsidRDefault="00710BF3" w:rsidP="00710BF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муниципальное общеобразовательное учреждение «Средняя школа № 4 им. </w:t>
      </w:r>
      <w:proofErr w:type="spellStart"/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Н.А.Некрасова</w:t>
      </w:r>
      <w:proofErr w:type="spellEnd"/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 xml:space="preserve"> с углубленным изучением английского языка» (средняя школа № 4)</w:t>
      </w:r>
    </w:p>
    <w:p w:rsidR="00710BF3" w:rsidRPr="00CE148F" w:rsidRDefault="00710BF3" w:rsidP="00710BF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8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общеобразовательное учреждение «Средняя школа № 11» (средняя школа № 11)</w:t>
      </w:r>
    </w:p>
    <w:p w:rsidR="006043A7" w:rsidRDefault="00710BF3">
      <w:bookmarkStart w:id="0" w:name="_GoBack"/>
      <w:bookmarkEnd w:id="0"/>
    </w:p>
    <w:sectPr w:rsidR="006043A7" w:rsidSect="00CE148F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C68"/>
    <w:multiLevelType w:val="hybridMultilevel"/>
    <w:tmpl w:val="78E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C4E"/>
    <w:multiLevelType w:val="hybridMultilevel"/>
    <w:tmpl w:val="AF8E53EE"/>
    <w:lvl w:ilvl="0" w:tplc="27CAEB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63276B3"/>
    <w:multiLevelType w:val="hybridMultilevel"/>
    <w:tmpl w:val="ADE2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95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3" w:hanging="360"/>
      </w:pPr>
    </w:lvl>
    <w:lvl w:ilvl="2" w:tplc="0419001B">
      <w:start w:val="1"/>
      <w:numFmt w:val="lowerRoman"/>
      <w:lvlText w:val="%3."/>
      <w:lvlJc w:val="right"/>
      <w:pPr>
        <w:ind w:left="11013" w:hanging="180"/>
      </w:pPr>
    </w:lvl>
    <w:lvl w:ilvl="3" w:tplc="0419000F">
      <w:start w:val="1"/>
      <w:numFmt w:val="decimal"/>
      <w:lvlText w:val="%4."/>
      <w:lvlJc w:val="left"/>
      <w:pPr>
        <w:ind w:left="11733" w:hanging="360"/>
      </w:pPr>
    </w:lvl>
    <w:lvl w:ilvl="4" w:tplc="04190019">
      <w:start w:val="1"/>
      <w:numFmt w:val="lowerLetter"/>
      <w:lvlText w:val="%5."/>
      <w:lvlJc w:val="left"/>
      <w:pPr>
        <w:ind w:left="12453" w:hanging="360"/>
      </w:pPr>
    </w:lvl>
    <w:lvl w:ilvl="5" w:tplc="0419001B">
      <w:start w:val="1"/>
      <w:numFmt w:val="lowerRoman"/>
      <w:lvlText w:val="%6."/>
      <w:lvlJc w:val="right"/>
      <w:pPr>
        <w:ind w:left="13173" w:hanging="180"/>
      </w:pPr>
    </w:lvl>
    <w:lvl w:ilvl="6" w:tplc="0419000F">
      <w:start w:val="1"/>
      <w:numFmt w:val="decimal"/>
      <w:lvlText w:val="%7."/>
      <w:lvlJc w:val="left"/>
      <w:pPr>
        <w:ind w:left="13893" w:hanging="360"/>
      </w:pPr>
    </w:lvl>
    <w:lvl w:ilvl="7" w:tplc="04190019">
      <w:start w:val="1"/>
      <w:numFmt w:val="lowerLetter"/>
      <w:lvlText w:val="%8."/>
      <w:lvlJc w:val="left"/>
      <w:pPr>
        <w:ind w:left="14613" w:hanging="360"/>
      </w:pPr>
    </w:lvl>
    <w:lvl w:ilvl="8" w:tplc="0419001B">
      <w:start w:val="1"/>
      <w:numFmt w:val="lowerRoman"/>
      <w:lvlText w:val="%9."/>
      <w:lvlJc w:val="right"/>
      <w:pPr>
        <w:ind w:left="1533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3"/>
    <w:rsid w:val="00112BF7"/>
    <w:rsid w:val="004E41B5"/>
    <w:rsid w:val="00616350"/>
    <w:rsid w:val="00710BF3"/>
    <w:rsid w:val="008100A3"/>
    <w:rsid w:val="00D31D64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600F-7013-45C9-8E82-60D097FA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F3"/>
    <w:pPr>
      <w:ind w:left="720"/>
      <w:contextualSpacing/>
    </w:pPr>
  </w:style>
  <w:style w:type="paragraph" w:customStyle="1" w:styleId="Default">
    <w:name w:val="Default"/>
    <w:rsid w:val="00710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710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710B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2021-09-22T07:26:00Z</dcterms:created>
  <dcterms:modified xsi:type="dcterms:W3CDTF">2021-09-22T07:26:00Z</dcterms:modified>
</cp:coreProperties>
</file>